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9F" w:rsidRPr="00F75A9F" w:rsidRDefault="00F75A9F" w:rsidP="00F75A9F">
      <w:pPr>
        <w:bidi/>
        <w:spacing w:before="100" w:beforeAutospacing="1" w:after="0" w:line="240" w:lineRule="auto"/>
        <w:rPr>
          <w:rFonts w:ascii="Arial" w:eastAsia="Times New Roman" w:hAnsi="Arial" w:cs="Arial"/>
          <w:b/>
          <w:bCs/>
          <w:sz w:val="24"/>
          <w:szCs w:val="24"/>
          <w:rtl/>
        </w:rPr>
      </w:pPr>
      <w:r w:rsidRPr="00F75A9F">
        <w:rPr>
          <w:rFonts w:ascii="Arial" w:eastAsia="Times New Roman" w:hAnsi="Arial" w:cs="Arial" w:hint="cs"/>
          <w:b/>
          <w:bCs/>
          <w:sz w:val="24"/>
          <w:szCs w:val="24"/>
          <w:rtl/>
        </w:rPr>
        <w:t>דיווח על מסה קולנועית בנושא תעמולת ההפחדה הממשלתית</w:t>
      </w:r>
    </w:p>
    <w:p w:rsidR="00CA6131" w:rsidRDefault="00005089" w:rsidP="00F75A9F">
      <w:pPr>
        <w:bidi/>
        <w:spacing w:before="100" w:beforeAutospacing="1" w:after="0" w:line="240" w:lineRule="auto"/>
        <w:rPr>
          <w:rFonts w:ascii="Arial" w:eastAsia="Times New Roman" w:hAnsi="Arial" w:cs="Arial"/>
          <w:sz w:val="24"/>
          <w:szCs w:val="24"/>
          <w:rtl/>
        </w:rPr>
      </w:pPr>
      <w:r>
        <w:rPr>
          <w:rFonts w:ascii="Arial" w:eastAsia="Times New Roman" w:hAnsi="Arial" w:cs="Arial" w:hint="cs"/>
          <w:sz w:val="24"/>
          <w:szCs w:val="24"/>
          <w:rtl/>
        </w:rPr>
        <w:t>ביום 18.9.14 הוקרן ב</w:t>
      </w:r>
      <w:r w:rsidRPr="00005089">
        <w:rPr>
          <w:rFonts w:ascii="Arial" w:eastAsia="Times New Roman" w:hAnsi="Arial" w:cs="Arial"/>
          <w:sz w:val="24"/>
          <w:szCs w:val="24"/>
          <w:rtl/>
        </w:rPr>
        <w:t xml:space="preserve">מועדון הגדה השמאלית </w:t>
      </w:r>
      <w:r>
        <w:rPr>
          <w:rFonts w:ascii="Arial" w:eastAsia="Times New Roman" w:hAnsi="Arial" w:cs="Arial" w:hint="cs"/>
          <w:sz w:val="24"/>
          <w:szCs w:val="24"/>
          <w:rtl/>
        </w:rPr>
        <w:t>הסרט</w:t>
      </w:r>
      <w:r>
        <w:rPr>
          <w:rFonts w:ascii="Arial" w:eastAsia="Times New Roman" w:hAnsi="Arial" w:cs="Arial"/>
          <w:sz w:val="24"/>
          <w:szCs w:val="24"/>
        </w:rPr>
        <w:t xml:space="preserve">“Double </w:t>
      </w:r>
      <w:r w:rsidRPr="00005089">
        <w:rPr>
          <w:rFonts w:ascii="Arial" w:eastAsia="Times New Roman" w:hAnsi="Arial" w:cs="Arial"/>
          <w:sz w:val="24"/>
          <w:szCs w:val="24"/>
        </w:rPr>
        <w:t>Take</w:t>
      </w:r>
      <w:r>
        <w:rPr>
          <w:rFonts w:ascii="Arial" w:eastAsia="Times New Roman" w:hAnsi="Arial" w:cs="Arial"/>
          <w:sz w:val="24"/>
          <w:szCs w:val="24"/>
        </w:rPr>
        <w:t>”</w:t>
      </w:r>
      <w:r w:rsidRPr="00005089">
        <w:rPr>
          <w:rFonts w:ascii="Arial" w:eastAsia="Times New Roman" w:hAnsi="Arial" w:cs="Arial"/>
          <w:sz w:val="24"/>
          <w:szCs w:val="24"/>
        </w:rPr>
        <w:t xml:space="preserve"> </w:t>
      </w:r>
      <w:r>
        <w:rPr>
          <w:rFonts w:ascii="Times New Roman" w:eastAsia="Times New Roman" w:hAnsi="Times New Roman" w:cs="Times New Roman"/>
          <w:sz w:val="24"/>
          <w:szCs w:val="24"/>
        </w:rPr>
        <w:t xml:space="preserve"> </w:t>
      </w:r>
      <w:r>
        <w:rPr>
          <w:rFonts w:ascii="Arial" w:eastAsia="Times New Roman" w:hAnsi="Arial" w:cs="Arial" w:hint="cs"/>
          <w:sz w:val="24"/>
          <w:szCs w:val="24"/>
          <w:rtl/>
        </w:rPr>
        <w:t xml:space="preserve"> של </w:t>
      </w:r>
      <w:r w:rsidRPr="00005089">
        <w:rPr>
          <w:rFonts w:ascii="Arial" w:eastAsia="Times New Roman" w:hAnsi="Arial" w:cs="Arial"/>
          <w:sz w:val="24"/>
          <w:szCs w:val="24"/>
          <w:rtl/>
        </w:rPr>
        <w:t xml:space="preserve">במאי הבלגי יוהן </w:t>
      </w:r>
      <w:proofErr w:type="spellStart"/>
      <w:r w:rsidRPr="00005089">
        <w:rPr>
          <w:rFonts w:ascii="Arial" w:eastAsia="Times New Roman" w:hAnsi="Arial" w:cs="Arial"/>
          <w:sz w:val="24"/>
          <w:szCs w:val="24"/>
          <w:rtl/>
        </w:rPr>
        <w:t>גרימונ</w:t>
      </w:r>
      <w:r w:rsidRPr="00005089">
        <w:rPr>
          <w:rFonts w:ascii="Arial" w:eastAsia="Times New Roman" w:hAnsi="Arial" w:cs="Arial" w:hint="cs"/>
          <w:sz w:val="24"/>
          <w:szCs w:val="24"/>
          <w:rtl/>
        </w:rPr>
        <w:t>פרה</w:t>
      </w:r>
      <w:proofErr w:type="spellEnd"/>
      <w:r>
        <w:rPr>
          <w:rFonts w:ascii="Arial" w:eastAsia="Times New Roman" w:hAnsi="Arial" w:cs="Arial" w:hint="cs"/>
          <w:sz w:val="24"/>
          <w:szCs w:val="24"/>
          <w:rtl/>
        </w:rPr>
        <w:t xml:space="preserve"> אשר הושלם בשנת 2009</w:t>
      </w:r>
      <w:r w:rsidRPr="00005089">
        <w:rPr>
          <w:rFonts w:ascii="Arial" w:eastAsia="Times New Roman" w:hAnsi="Arial" w:cs="Arial" w:hint="cs"/>
          <w:sz w:val="24"/>
          <w:szCs w:val="24"/>
          <w:rtl/>
        </w:rPr>
        <w:t>.</w:t>
      </w:r>
      <w:r>
        <w:rPr>
          <w:rFonts w:ascii="Arial" w:eastAsia="Times New Roman" w:hAnsi="Arial" w:cs="Arial" w:hint="cs"/>
          <w:sz w:val="24"/>
          <w:szCs w:val="24"/>
          <w:rtl/>
        </w:rPr>
        <w:t xml:space="preserve"> הקדימה דברים לסרט</w:t>
      </w:r>
      <w:r w:rsidRPr="00005089">
        <w:rPr>
          <w:rFonts w:ascii="Arial" w:eastAsia="Times New Roman" w:hAnsi="Arial" w:cs="Arial" w:hint="cs"/>
          <w:sz w:val="24"/>
          <w:szCs w:val="24"/>
          <w:rtl/>
        </w:rPr>
        <w:t xml:space="preserve">, </w:t>
      </w:r>
      <w:r w:rsidRPr="00005089">
        <w:rPr>
          <w:rFonts w:ascii="Arial" w:eastAsia="Times New Roman" w:hAnsi="Arial" w:cs="Arial"/>
          <w:sz w:val="24"/>
          <w:szCs w:val="24"/>
          <w:rtl/>
        </w:rPr>
        <w:t>אסתר דותן,</w:t>
      </w:r>
      <w:r>
        <w:rPr>
          <w:rFonts w:ascii="Arial" w:eastAsia="Times New Roman" w:hAnsi="Arial" w:cs="Arial"/>
          <w:sz w:val="24"/>
          <w:szCs w:val="24"/>
          <w:rtl/>
        </w:rPr>
        <w:t xml:space="preserve"> המייסדת של הוצאת הספרים פיתו</w:t>
      </w:r>
      <w:r>
        <w:rPr>
          <w:rFonts w:ascii="Arial" w:eastAsia="Times New Roman" w:hAnsi="Arial" w:cs="Arial" w:hint="cs"/>
          <w:sz w:val="24"/>
          <w:szCs w:val="24"/>
          <w:rtl/>
        </w:rPr>
        <w:t>ם. לדבריה, הסרט הוא מסה קולנועית על תעשיית ההפחדה הממשלתית</w:t>
      </w:r>
      <w:r w:rsidR="00B048F0">
        <w:rPr>
          <w:rFonts w:ascii="Arial" w:eastAsia="Times New Roman" w:hAnsi="Arial" w:cs="Arial" w:hint="cs"/>
          <w:sz w:val="24"/>
          <w:szCs w:val="24"/>
          <w:rtl/>
        </w:rPr>
        <w:t xml:space="preserve">. </w:t>
      </w:r>
    </w:p>
    <w:p w:rsidR="00272DD2" w:rsidRDefault="00B048F0" w:rsidP="00CA6131">
      <w:pPr>
        <w:bidi/>
        <w:spacing w:before="100" w:beforeAutospacing="1" w:after="0" w:line="240" w:lineRule="auto"/>
        <w:rPr>
          <w:rFonts w:ascii="Arial" w:eastAsia="Times New Roman" w:hAnsi="Arial" w:cs="Arial"/>
          <w:sz w:val="24"/>
          <w:szCs w:val="24"/>
          <w:rtl/>
        </w:rPr>
      </w:pPr>
      <w:r>
        <w:rPr>
          <w:rFonts w:ascii="Arial" w:eastAsia="Times New Roman" w:hAnsi="Arial" w:cs="Arial" w:hint="cs"/>
          <w:sz w:val="24"/>
          <w:szCs w:val="24"/>
          <w:rtl/>
        </w:rPr>
        <w:t>המוקד הפוליטי של הסרט הוא החרפת המלחמה הקרה בסוף שנות החמישים ותחילת שנות הששים, והוא כולל צילומי ארכיון של שיגור הספוטניק (1957), "ויכוח המטבח"</w:t>
      </w:r>
      <w:r>
        <w:rPr>
          <w:rFonts w:ascii="Arial" w:eastAsia="Times New Roman" w:hAnsi="Arial" w:cs="Arial"/>
          <w:sz w:val="24"/>
          <w:szCs w:val="24"/>
        </w:rPr>
        <w:t xml:space="preserve"> </w:t>
      </w:r>
      <w:r>
        <w:rPr>
          <w:rFonts w:ascii="Arial" w:eastAsia="Times New Roman" w:hAnsi="Arial" w:cs="Arial" w:hint="cs"/>
          <w:sz w:val="24"/>
          <w:szCs w:val="24"/>
          <w:rtl/>
        </w:rPr>
        <w:t xml:space="preserve"> בין ניקסון </w:t>
      </w:r>
      <w:proofErr w:type="spellStart"/>
      <w:r>
        <w:rPr>
          <w:rFonts w:ascii="Arial" w:eastAsia="Times New Roman" w:hAnsi="Arial" w:cs="Arial" w:hint="cs"/>
          <w:sz w:val="24"/>
          <w:szCs w:val="24"/>
          <w:rtl/>
        </w:rPr>
        <w:t>לחרוש</w:t>
      </w:r>
      <w:r w:rsidR="0094743C">
        <w:rPr>
          <w:rFonts w:ascii="Arial" w:eastAsia="Times New Roman" w:hAnsi="Arial" w:cs="Arial" w:hint="cs"/>
          <w:sz w:val="24"/>
          <w:szCs w:val="24"/>
          <w:rtl/>
        </w:rPr>
        <w:t>'</w:t>
      </w:r>
      <w:r>
        <w:rPr>
          <w:rFonts w:ascii="Arial" w:eastAsia="Times New Roman" w:hAnsi="Arial" w:cs="Arial" w:hint="cs"/>
          <w:sz w:val="24"/>
          <w:szCs w:val="24"/>
          <w:rtl/>
        </w:rPr>
        <w:t>צוב</w:t>
      </w:r>
      <w:proofErr w:type="spellEnd"/>
      <w:r>
        <w:rPr>
          <w:rFonts w:ascii="Arial" w:eastAsia="Times New Roman" w:hAnsi="Arial" w:cs="Arial" w:hint="cs"/>
          <w:sz w:val="24"/>
          <w:szCs w:val="24"/>
          <w:rtl/>
        </w:rPr>
        <w:t xml:space="preserve"> (1959), הפלישה למפרץ החזירים </w:t>
      </w:r>
      <w:r w:rsidR="00CA6131">
        <w:rPr>
          <w:rFonts w:ascii="Arial" w:eastAsia="Times New Roman" w:hAnsi="Arial" w:cs="Arial" w:hint="cs"/>
          <w:sz w:val="24"/>
          <w:szCs w:val="24"/>
          <w:rtl/>
        </w:rPr>
        <w:t>(1961), ומשבר הטילים של קובה (1962). היוצר מקשר את תעמולת ההפחדה הממשלתית סביב אירועים אלו, אשר הופצה בארה"ב בעיקר בטלוויזי</w:t>
      </w:r>
      <w:r w:rsidR="00CA6131">
        <w:rPr>
          <w:rFonts w:ascii="Arial" w:eastAsia="Times New Roman" w:hAnsi="Arial" w:cs="Arial" w:hint="eastAsia"/>
          <w:sz w:val="24"/>
          <w:szCs w:val="24"/>
          <w:rtl/>
        </w:rPr>
        <w:t>ה</w:t>
      </w:r>
      <w:r w:rsidR="00CA6131">
        <w:rPr>
          <w:rFonts w:ascii="Arial" w:eastAsia="Times New Roman" w:hAnsi="Arial" w:cs="Arial" w:hint="cs"/>
          <w:sz w:val="24"/>
          <w:szCs w:val="24"/>
          <w:rtl/>
        </w:rPr>
        <w:t>, עם סרטי האימה של היצ</w:t>
      </w:r>
      <w:r w:rsidR="0094743C">
        <w:rPr>
          <w:rFonts w:ascii="Arial" w:eastAsia="Times New Roman" w:hAnsi="Arial" w:cs="Arial" w:hint="cs"/>
          <w:sz w:val="24"/>
          <w:szCs w:val="24"/>
          <w:rtl/>
        </w:rPr>
        <w:t>'</w:t>
      </w:r>
      <w:r w:rsidR="00CA6131">
        <w:rPr>
          <w:rFonts w:ascii="Arial" w:eastAsia="Times New Roman" w:hAnsi="Arial" w:cs="Arial" w:hint="cs"/>
          <w:sz w:val="24"/>
          <w:szCs w:val="24"/>
          <w:rtl/>
        </w:rPr>
        <w:t xml:space="preserve">קוק שנוצרו באותה תקופה. </w:t>
      </w:r>
    </w:p>
    <w:p w:rsidR="00CA6131" w:rsidRDefault="00CA6131" w:rsidP="00272DD2">
      <w:pPr>
        <w:bidi/>
        <w:spacing w:before="100" w:beforeAutospacing="1" w:after="0" w:line="240" w:lineRule="auto"/>
        <w:rPr>
          <w:rFonts w:ascii="Arial" w:eastAsia="Times New Roman" w:hAnsi="Arial" w:cs="Arial"/>
          <w:sz w:val="24"/>
          <w:szCs w:val="24"/>
          <w:rtl/>
        </w:rPr>
      </w:pPr>
      <w:r>
        <w:rPr>
          <w:rFonts w:ascii="Arial" w:eastAsia="Times New Roman" w:hAnsi="Arial" w:cs="Arial" w:hint="cs"/>
          <w:sz w:val="24"/>
          <w:szCs w:val="24"/>
          <w:rtl/>
        </w:rPr>
        <w:t>קטעי הארכיון הפוליטיים נשזרים בקטעים</w:t>
      </w:r>
      <w:r w:rsidR="00272DD2">
        <w:rPr>
          <w:rFonts w:ascii="Arial" w:eastAsia="Times New Roman" w:hAnsi="Arial" w:cs="Arial" w:hint="cs"/>
          <w:sz w:val="24"/>
          <w:szCs w:val="24"/>
          <w:rtl/>
        </w:rPr>
        <w:t xml:space="preserve"> מסדרת</w:t>
      </w:r>
      <w:r>
        <w:rPr>
          <w:rFonts w:ascii="Arial" w:eastAsia="Times New Roman" w:hAnsi="Arial" w:cs="Arial" w:hint="cs"/>
          <w:sz w:val="24"/>
          <w:szCs w:val="24"/>
          <w:rtl/>
        </w:rPr>
        <w:t xml:space="preserve"> הטלוויזי</w:t>
      </w:r>
      <w:r>
        <w:rPr>
          <w:rFonts w:ascii="Arial" w:eastAsia="Times New Roman" w:hAnsi="Arial" w:cs="Arial" w:hint="eastAsia"/>
          <w:sz w:val="24"/>
          <w:szCs w:val="24"/>
          <w:rtl/>
        </w:rPr>
        <w:t>ה</w:t>
      </w:r>
      <w:r>
        <w:rPr>
          <w:rFonts w:ascii="Arial" w:eastAsia="Times New Roman" w:hAnsi="Arial" w:cs="Arial" w:hint="cs"/>
          <w:sz w:val="24"/>
          <w:szCs w:val="24"/>
          <w:rtl/>
        </w:rPr>
        <w:t xml:space="preserve"> של היצ</w:t>
      </w:r>
      <w:r w:rsidR="0094743C">
        <w:rPr>
          <w:rFonts w:ascii="Arial" w:eastAsia="Times New Roman" w:hAnsi="Arial" w:cs="Arial" w:hint="cs"/>
          <w:sz w:val="24"/>
          <w:szCs w:val="24"/>
          <w:rtl/>
        </w:rPr>
        <w:t>'</w:t>
      </w:r>
      <w:r>
        <w:rPr>
          <w:rFonts w:ascii="Arial" w:eastAsia="Times New Roman" w:hAnsi="Arial" w:cs="Arial" w:hint="cs"/>
          <w:sz w:val="24"/>
          <w:szCs w:val="24"/>
          <w:rtl/>
        </w:rPr>
        <w:t xml:space="preserve">קוק, </w:t>
      </w:r>
      <w:r w:rsidR="00272DD2">
        <w:rPr>
          <w:rFonts w:ascii="Arial" w:eastAsia="Times New Roman" w:hAnsi="Arial" w:cs="Arial" w:hint="cs"/>
          <w:sz w:val="24"/>
          <w:szCs w:val="24"/>
          <w:rtl/>
        </w:rPr>
        <w:t xml:space="preserve">בה הוא הציג סרטים קצרים שאת חלקם ביים, </w:t>
      </w:r>
      <w:r>
        <w:rPr>
          <w:rFonts w:ascii="Arial" w:eastAsia="Times New Roman" w:hAnsi="Arial" w:cs="Arial" w:hint="cs"/>
          <w:sz w:val="24"/>
          <w:szCs w:val="24"/>
          <w:rtl/>
        </w:rPr>
        <w:t>ובקטעי פרסומות שלי</w:t>
      </w:r>
      <w:r w:rsidR="0094743C">
        <w:rPr>
          <w:rFonts w:ascii="Arial" w:eastAsia="Times New Roman" w:hAnsi="Arial" w:cs="Arial" w:hint="cs"/>
          <w:sz w:val="24"/>
          <w:szCs w:val="24"/>
          <w:rtl/>
        </w:rPr>
        <w:t>וו את הסדרה ו</w:t>
      </w:r>
      <w:r>
        <w:rPr>
          <w:rFonts w:ascii="Arial" w:eastAsia="Times New Roman" w:hAnsi="Arial" w:cs="Arial" w:hint="cs"/>
          <w:sz w:val="24"/>
          <w:szCs w:val="24"/>
          <w:rtl/>
        </w:rPr>
        <w:t xml:space="preserve">זכו לדברי הקדמה </w:t>
      </w:r>
      <w:r w:rsidR="00272DD2">
        <w:rPr>
          <w:rFonts w:ascii="Arial" w:eastAsia="Times New Roman" w:hAnsi="Arial" w:cs="Arial" w:hint="cs"/>
          <w:sz w:val="24"/>
          <w:szCs w:val="24"/>
          <w:rtl/>
        </w:rPr>
        <w:t>של היצ</w:t>
      </w:r>
      <w:r w:rsidR="0094743C">
        <w:rPr>
          <w:rFonts w:ascii="Arial" w:eastAsia="Times New Roman" w:hAnsi="Arial" w:cs="Arial" w:hint="cs"/>
          <w:sz w:val="24"/>
          <w:szCs w:val="24"/>
          <w:rtl/>
        </w:rPr>
        <w:t>'</w:t>
      </w:r>
      <w:r w:rsidR="00272DD2">
        <w:rPr>
          <w:rFonts w:ascii="Arial" w:eastAsia="Times New Roman" w:hAnsi="Arial" w:cs="Arial" w:hint="cs"/>
          <w:sz w:val="24"/>
          <w:szCs w:val="24"/>
          <w:rtl/>
        </w:rPr>
        <w:t xml:space="preserve">קוק. </w:t>
      </w:r>
      <w:r>
        <w:rPr>
          <w:rFonts w:ascii="Arial" w:eastAsia="Times New Roman" w:hAnsi="Arial" w:cs="Arial" w:hint="cs"/>
          <w:sz w:val="24"/>
          <w:szCs w:val="24"/>
          <w:rtl/>
        </w:rPr>
        <w:t>שני הרצפים האלו נשזרים בסיפור מסגרת על פגישה מדומיינ</w:t>
      </w:r>
      <w:r>
        <w:rPr>
          <w:rFonts w:ascii="Arial" w:eastAsia="Times New Roman" w:hAnsi="Arial" w:cs="Arial" w:hint="eastAsia"/>
          <w:sz w:val="24"/>
          <w:szCs w:val="24"/>
          <w:rtl/>
        </w:rPr>
        <w:t>ת</w:t>
      </w:r>
      <w:r>
        <w:rPr>
          <w:rFonts w:ascii="Arial" w:eastAsia="Times New Roman" w:hAnsi="Arial" w:cs="Arial" w:hint="cs"/>
          <w:sz w:val="24"/>
          <w:szCs w:val="24"/>
          <w:rtl/>
        </w:rPr>
        <w:t xml:space="preserve"> של היצ</w:t>
      </w:r>
      <w:r w:rsidR="0094743C">
        <w:rPr>
          <w:rFonts w:ascii="Arial" w:eastAsia="Times New Roman" w:hAnsi="Arial" w:cs="Arial" w:hint="cs"/>
          <w:sz w:val="24"/>
          <w:szCs w:val="24"/>
          <w:rtl/>
        </w:rPr>
        <w:t>'</w:t>
      </w:r>
      <w:r>
        <w:rPr>
          <w:rFonts w:ascii="Arial" w:eastAsia="Times New Roman" w:hAnsi="Arial" w:cs="Arial" w:hint="cs"/>
          <w:sz w:val="24"/>
          <w:szCs w:val="24"/>
          <w:rtl/>
        </w:rPr>
        <w:t>קוק עם כפיל (שהתפרסם לאחר מותו של היצ</w:t>
      </w:r>
      <w:r w:rsidR="0094743C">
        <w:rPr>
          <w:rFonts w:ascii="Arial" w:eastAsia="Times New Roman" w:hAnsi="Arial" w:cs="Arial" w:hint="cs"/>
          <w:sz w:val="24"/>
          <w:szCs w:val="24"/>
          <w:rtl/>
        </w:rPr>
        <w:t>'</w:t>
      </w:r>
      <w:r>
        <w:rPr>
          <w:rFonts w:ascii="Arial" w:eastAsia="Times New Roman" w:hAnsi="Arial" w:cs="Arial" w:hint="cs"/>
          <w:sz w:val="24"/>
          <w:szCs w:val="24"/>
          <w:rtl/>
        </w:rPr>
        <w:t>קוק)</w:t>
      </w:r>
      <w:r w:rsidR="00272DD2">
        <w:rPr>
          <w:rFonts w:ascii="Arial" w:eastAsia="Times New Roman" w:hAnsi="Arial" w:cs="Arial" w:hint="cs"/>
          <w:sz w:val="24"/>
          <w:szCs w:val="24"/>
          <w:rtl/>
        </w:rPr>
        <w:t>,</w:t>
      </w:r>
      <w:r>
        <w:rPr>
          <w:rFonts w:ascii="Arial" w:eastAsia="Times New Roman" w:hAnsi="Arial" w:cs="Arial" w:hint="cs"/>
          <w:sz w:val="24"/>
          <w:szCs w:val="24"/>
          <w:rtl/>
        </w:rPr>
        <w:t xml:space="preserve"> אשר מבוסס על </w:t>
      </w:r>
      <w:r w:rsidRPr="00005089">
        <w:rPr>
          <w:rFonts w:ascii="Arial" w:eastAsia="Times New Roman" w:hAnsi="Arial" w:cs="Arial"/>
          <w:sz w:val="24"/>
          <w:szCs w:val="24"/>
          <w:rtl/>
        </w:rPr>
        <w:t xml:space="preserve">סיפורו של הסופר הארגנטיני </w:t>
      </w:r>
      <w:proofErr w:type="spellStart"/>
      <w:r w:rsidRPr="00005089">
        <w:rPr>
          <w:rFonts w:ascii="Arial" w:eastAsia="Times New Roman" w:hAnsi="Arial" w:cs="Arial"/>
          <w:sz w:val="24"/>
          <w:szCs w:val="24"/>
          <w:rtl/>
        </w:rPr>
        <w:t>חורח</w:t>
      </w:r>
      <w:r w:rsidR="00272DD2">
        <w:rPr>
          <w:rFonts w:ascii="Arial" w:eastAsia="Times New Roman" w:hAnsi="Arial" w:cs="Arial"/>
          <w:sz w:val="24"/>
          <w:szCs w:val="24"/>
          <w:rtl/>
        </w:rPr>
        <w:t>ה</w:t>
      </w:r>
      <w:proofErr w:type="spellEnd"/>
      <w:r w:rsidR="00272DD2">
        <w:rPr>
          <w:rFonts w:ascii="Arial" w:eastAsia="Times New Roman" w:hAnsi="Arial" w:cs="Arial"/>
          <w:sz w:val="24"/>
          <w:szCs w:val="24"/>
          <w:rtl/>
        </w:rPr>
        <w:t xml:space="preserve"> לואיס </w:t>
      </w:r>
      <w:proofErr w:type="spellStart"/>
      <w:r w:rsidR="00272DD2">
        <w:rPr>
          <w:rFonts w:ascii="Arial" w:eastAsia="Times New Roman" w:hAnsi="Arial" w:cs="Arial"/>
          <w:sz w:val="24"/>
          <w:szCs w:val="24"/>
          <w:rtl/>
        </w:rPr>
        <w:t>בורחס</w:t>
      </w:r>
      <w:proofErr w:type="spellEnd"/>
      <w:r w:rsidR="00272DD2">
        <w:rPr>
          <w:rFonts w:ascii="Arial" w:eastAsia="Times New Roman" w:hAnsi="Arial" w:cs="Arial"/>
          <w:sz w:val="24"/>
          <w:szCs w:val="24"/>
          <w:rtl/>
        </w:rPr>
        <w:t xml:space="preserve"> "25 באוגוסט 1983"</w:t>
      </w:r>
      <w:r w:rsidR="00272DD2">
        <w:rPr>
          <w:rFonts w:ascii="Arial" w:eastAsia="Times New Roman" w:hAnsi="Arial" w:cs="Arial" w:hint="cs"/>
          <w:sz w:val="24"/>
          <w:szCs w:val="24"/>
          <w:rtl/>
        </w:rPr>
        <w:t>, ובראיונות קצרים עם אותו כפיל.</w:t>
      </w:r>
    </w:p>
    <w:p w:rsidR="008C6844" w:rsidRPr="00005089" w:rsidRDefault="008C6844" w:rsidP="00847968">
      <w:pPr>
        <w:bidi/>
        <w:spacing w:before="100" w:beforeAutospacing="1" w:after="0" w:line="240" w:lineRule="auto"/>
        <w:rPr>
          <w:rFonts w:ascii="Times New Roman" w:eastAsia="Times New Roman" w:hAnsi="Times New Roman" w:cs="Times New Roman"/>
          <w:sz w:val="24"/>
          <w:szCs w:val="24"/>
          <w:rtl/>
        </w:rPr>
      </w:pPr>
      <w:r>
        <w:rPr>
          <w:rFonts w:ascii="Arial" w:eastAsia="Times New Roman" w:hAnsi="Arial" w:cs="Arial" w:hint="cs"/>
          <w:sz w:val="24"/>
          <w:szCs w:val="24"/>
          <w:rtl/>
        </w:rPr>
        <w:t>אסתר דותן הצביעה על יחסי הגומלין בין ההפחדה הפוליטית לבין ההפחדה הקול</w:t>
      </w:r>
      <w:r w:rsidR="00847968">
        <w:rPr>
          <w:rFonts w:ascii="Arial" w:eastAsia="Times New Roman" w:hAnsi="Arial" w:cs="Arial" w:hint="cs"/>
          <w:sz w:val="24"/>
          <w:szCs w:val="24"/>
          <w:rtl/>
        </w:rPr>
        <w:t>נועית. מדובר לא רק</w:t>
      </w:r>
      <w:r>
        <w:rPr>
          <w:rFonts w:ascii="Arial" w:eastAsia="Times New Roman" w:hAnsi="Arial" w:cs="Arial" w:hint="cs"/>
          <w:sz w:val="24"/>
          <w:szCs w:val="24"/>
          <w:rtl/>
        </w:rPr>
        <w:t xml:space="preserve"> במישור הטכני של מע</w:t>
      </w:r>
      <w:r w:rsidR="00847968">
        <w:rPr>
          <w:rFonts w:ascii="Arial" w:eastAsia="Times New Roman" w:hAnsi="Arial" w:cs="Arial" w:hint="cs"/>
          <w:sz w:val="24"/>
          <w:szCs w:val="24"/>
          <w:rtl/>
        </w:rPr>
        <w:t>בר טכניקות הצגה משדה אחד למשנהו אלא בהבניה של שדה אחד על פי ההיגיון של שדה</w:t>
      </w:r>
      <w:r>
        <w:rPr>
          <w:rFonts w:ascii="Arial" w:eastAsia="Times New Roman" w:hAnsi="Arial" w:cs="Arial" w:hint="cs"/>
          <w:sz w:val="24"/>
          <w:szCs w:val="24"/>
          <w:rtl/>
        </w:rPr>
        <w:t xml:space="preserve"> </w:t>
      </w:r>
      <w:r w:rsidR="00847968">
        <w:rPr>
          <w:rFonts w:ascii="Arial" w:eastAsia="Times New Roman" w:hAnsi="Arial" w:cs="Arial" w:hint="cs"/>
          <w:sz w:val="24"/>
          <w:szCs w:val="24"/>
          <w:rtl/>
        </w:rPr>
        <w:t>השני: הקולנוע אמור לשקף את המציאות, אבל במהלך הזמן מעצבת תעשיית הסרטים והטלוויזיה את המציאות ע"י הבניית המציאות כסרט. למהלך זה יש הדים בסיפור המסגרת שבסרט הנוכחי בו מטושטש הגבול בין דמיון למציאות: דמותו של היצ</w:t>
      </w:r>
      <w:r w:rsidR="0094743C">
        <w:rPr>
          <w:rFonts w:ascii="Arial" w:eastAsia="Times New Roman" w:hAnsi="Arial" w:cs="Arial" w:hint="cs"/>
          <w:sz w:val="24"/>
          <w:szCs w:val="24"/>
          <w:rtl/>
        </w:rPr>
        <w:t>'</w:t>
      </w:r>
      <w:r w:rsidR="00847968">
        <w:rPr>
          <w:rFonts w:ascii="Arial" w:eastAsia="Times New Roman" w:hAnsi="Arial" w:cs="Arial" w:hint="cs"/>
          <w:sz w:val="24"/>
          <w:szCs w:val="24"/>
          <w:rtl/>
        </w:rPr>
        <w:t xml:space="preserve">קוק שבסיפור מתייחסת לעצמה כדמות בסיפור. טשטוש הגבולות שבין הפוליטיקה לקולנוע מגיעה לשיאה במעבר של כוכבי קולנוע כגון </w:t>
      </w:r>
      <w:proofErr w:type="spellStart"/>
      <w:r w:rsidR="00847968">
        <w:rPr>
          <w:rFonts w:ascii="Arial" w:eastAsia="Times New Roman" w:hAnsi="Arial" w:cs="Arial" w:hint="cs"/>
          <w:sz w:val="24"/>
          <w:szCs w:val="24"/>
          <w:rtl/>
        </w:rPr>
        <w:t>רונלד</w:t>
      </w:r>
      <w:proofErr w:type="spellEnd"/>
      <w:r w:rsidR="00847968">
        <w:rPr>
          <w:rFonts w:ascii="Arial" w:eastAsia="Times New Roman" w:hAnsi="Arial" w:cs="Arial" w:hint="cs"/>
          <w:sz w:val="24"/>
          <w:szCs w:val="24"/>
          <w:rtl/>
        </w:rPr>
        <w:t xml:space="preserve"> רייגן לפוליטיקה ובשימו</w:t>
      </w:r>
      <w:r w:rsidR="0094743C">
        <w:rPr>
          <w:rFonts w:ascii="Arial" w:eastAsia="Times New Roman" w:hAnsi="Arial" w:cs="Arial" w:hint="cs"/>
          <w:sz w:val="24"/>
          <w:szCs w:val="24"/>
          <w:rtl/>
        </w:rPr>
        <w:t>ש שלהם בחומר קולנועי לצורך טיעונים</w:t>
      </w:r>
      <w:r w:rsidR="00847968">
        <w:rPr>
          <w:rFonts w:ascii="Arial" w:eastAsia="Times New Roman" w:hAnsi="Arial" w:cs="Arial" w:hint="cs"/>
          <w:sz w:val="24"/>
          <w:szCs w:val="24"/>
          <w:rtl/>
        </w:rPr>
        <w:t xml:space="preserve"> פוליטיי</w:t>
      </w:r>
      <w:r w:rsidR="00847968">
        <w:rPr>
          <w:rFonts w:ascii="Arial" w:eastAsia="Times New Roman" w:hAnsi="Arial" w:cs="Arial" w:hint="eastAsia"/>
          <w:sz w:val="24"/>
          <w:szCs w:val="24"/>
          <w:rtl/>
        </w:rPr>
        <w:t>ם</w:t>
      </w:r>
      <w:r w:rsidR="00847968">
        <w:rPr>
          <w:rFonts w:ascii="Arial" w:eastAsia="Times New Roman" w:hAnsi="Arial" w:cs="Arial" w:hint="cs"/>
          <w:sz w:val="24"/>
          <w:szCs w:val="24"/>
          <w:rtl/>
        </w:rPr>
        <w:t xml:space="preserve"> (ראו אזכורים של רייגן הפוליטיקאי לסרטים של רייגן השחקן).</w:t>
      </w:r>
    </w:p>
    <w:p w:rsidR="002913AF" w:rsidRDefault="002913AF" w:rsidP="00005089">
      <w:pPr>
        <w:jc w:val="right"/>
        <w:rPr>
          <w:rtl/>
        </w:rPr>
      </w:pPr>
    </w:p>
    <w:p w:rsidR="00165C5F" w:rsidRDefault="00A10DB3" w:rsidP="00A10DB3">
      <w:pPr>
        <w:bidi/>
        <w:rPr>
          <w:sz w:val="24"/>
          <w:szCs w:val="24"/>
          <w:rtl/>
        </w:rPr>
      </w:pPr>
      <w:r w:rsidRPr="00F75A9F">
        <w:rPr>
          <w:rFonts w:hint="cs"/>
          <w:sz w:val="24"/>
          <w:szCs w:val="24"/>
          <w:rtl/>
        </w:rPr>
        <w:t>למרות שהפחד ש</w:t>
      </w:r>
      <w:r w:rsidR="00410598" w:rsidRPr="00F75A9F">
        <w:rPr>
          <w:rFonts w:hint="cs"/>
          <w:sz w:val="24"/>
          <w:szCs w:val="24"/>
          <w:rtl/>
        </w:rPr>
        <w:t>י</w:t>
      </w:r>
      <w:r w:rsidRPr="00F75A9F">
        <w:rPr>
          <w:rFonts w:hint="cs"/>
          <w:sz w:val="24"/>
          <w:szCs w:val="24"/>
          <w:rtl/>
        </w:rPr>
        <w:t>מש את השלטונות</w:t>
      </w:r>
      <w:r w:rsidR="006F28C5" w:rsidRPr="00F75A9F">
        <w:rPr>
          <w:rFonts w:hint="cs"/>
          <w:sz w:val="24"/>
          <w:szCs w:val="24"/>
          <w:rtl/>
        </w:rPr>
        <w:t xml:space="preserve"> מאז ימי קדם, הרי שבעידן הפרה-מודרני היה זה בעיקר פחד מהשלטונ</w:t>
      </w:r>
      <w:r w:rsidRPr="00F75A9F">
        <w:rPr>
          <w:rFonts w:hint="cs"/>
          <w:sz w:val="24"/>
          <w:szCs w:val="24"/>
          <w:rtl/>
        </w:rPr>
        <w:t>ות עצמם. המוש</w:t>
      </w:r>
      <w:r w:rsidR="00165C5F">
        <w:rPr>
          <w:rFonts w:hint="cs"/>
          <w:sz w:val="24"/>
          <w:szCs w:val="24"/>
          <w:rtl/>
        </w:rPr>
        <w:t>ג "קסנופוביה" אמנם עתיק, אך</w:t>
      </w:r>
      <w:r w:rsidRPr="00F75A9F">
        <w:rPr>
          <w:rFonts w:hint="cs"/>
          <w:sz w:val="24"/>
          <w:szCs w:val="24"/>
          <w:rtl/>
        </w:rPr>
        <w:t xml:space="preserve"> שלמרות </w:t>
      </w:r>
      <w:r w:rsidR="00165C5F">
        <w:rPr>
          <w:rFonts w:hint="cs"/>
          <w:sz w:val="24"/>
          <w:szCs w:val="24"/>
          <w:rtl/>
        </w:rPr>
        <w:t xml:space="preserve">שתרגומו המילולי הוא </w:t>
      </w:r>
      <w:r w:rsidRPr="00F75A9F">
        <w:rPr>
          <w:rFonts w:hint="cs"/>
          <w:sz w:val="24"/>
          <w:szCs w:val="24"/>
          <w:rtl/>
        </w:rPr>
        <w:t>"פחד מזרים"</w:t>
      </w:r>
      <w:r w:rsidR="00165C5F">
        <w:rPr>
          <w:rFonts w:hint="cs"/>
          <w:sz w:val="24"/>
          <w:szCs w:val="24"/>
          <w:rtl/>
        </w:rPr>
        <w:t>, נראה</w:t>
      </w:r>
      <w:r w:rsidRPr="00F75A9F">
        <w:rPr>
          <w:rFonts w:hint="cs"/>
          <w:sz w:val="24"/>
          <w:szCs w:val="24"/>
          <w:rtl/>
        </w:rPr>
        <w:t xml:space="preserve"> שמשמעותו הייתה בדרך כלל שנאה ו/או רתיעה מזרים </w:t>
      </w:r>
      <w:r w:rsidR="00FF574F" w:rsidRPr="00F75A9F">
        <w:rPr>
          <w:rFonts w:hint="cs"/>
          <w:sz w:val="24"/>
          <w:szCs w:val="24"/>
          <w:rtl/>
        </w:rPr>
        <w:t xml:space="preserve">ו/או "אחרים" </w:t>
      </w:r>
      <w:r w:rsidRPr="00F75A9F">
        <w:rPr>
          <w:rFonts w:hint="cs"/>
          <w:sz w:val="24"/>
          <w:szCs w:val="24"/>
          <w:rtl/>
        </w:rPr>
        <w:t>ולא פחד מהם.</w:t>
      </w:r>
      <w:r w:rsidR="00410598" w:rsidRPr="00F75A9F">
        <w:rPr>
          <w:rFonts w:hint="cs"/>
          <w:sz w:val="24"/>
          <w:szCs w:val="24"/>
          <w:rtl/>
        </w:rPr>
        <w:t xml:space="preserve"> </w:t>
      </w:r>
      <w:r w:rsidRPr="00F75A9F">
        <w:rPr>
          <w:rFonts w:hint="cs"/>
          <w:sz w:val="24"/>
          <w:szCs w:val="24"/>
          <w:rtl/>
        </w:rPr>
        <w:t xml:space="preserve"> </w:t>
      </w:r>
      <w:r w:rsidR="00410598" w:rsidRPr="00F75A9F">
        <w:rPr>
          <w:rFonts w:hint="cs"/>
          <w:sz w:val="24"/>
          <w:szCs w:val="24"/>
          <w:rtl/>
        </w:rPr>
        <w:t>נראה שהפחד מזרים הוא המצאה מודרנית ושורשה בהפחדה מכוונת של האוכלוסייה ע"י השלטונות</w:t>
      </w:r>
      <w:r w:rsidR="00026B74" w:rsidRPr="00F75A9F">
        <w:rPr>
          <w:rFonts w:hint="cs"/>
          <w:sz w:val="24"/>
          <w:szCs w:val="24"/>
          <w:rtl/>
        </w:rPr>
        <w:t xml:space="preserve"> </w:t>
      </w:r>
      <w:r w:rsidR="00427D7D" w:rsidRPr="00F75A9F">
        <w:rPr>
          <w:rFonts w:hint="cs"/>
          <w:sz w:val="24"/>
          <w:szCs w:val="24"/>
          <w:rtl/>
        </w:rPr>
        <w:t>שמטרת</w:t>
      </w:r>
      <w:r w:rsidR="00F75A9F" w:rsidRPr="00F75A9F">
        <w:rPr>
          <w:rFonts w:hint="cs"/>
          <w:sz w:val="24"/>
          <w:szCs w:val="24"/>
          <w:rtl/>
        </w:rPr>
        <w:t>ה</w:t>
      </w:r>
      <w:r w:rsidR="00427D7D" w:rsidRPr="00F75A9F">
        <w:rPr>
          <w:rFonts w:hint="cs"/>
          <w:sz w:val="24"/>
          <w:szCs w:val="24"/>
          <w:rtl/>
        </w:rPr>
        <w:t xml:space="preserve"> לייצר לגיטימציה לשלטון ולפעולותיו, </w:t>
      </w:r>
      <w:r w:rsidR="00F75A9F" w:rsidRPr="00F75A9F">
        <w:rPr>
          <w:rFonts w:hint="cs"/>
          <w:sz w:val="24"/>
          <w:szCs w:val="24"/>
          <w:rtl/>
        </w:rPr>
        <w:t xml:space="preserve">וזאת משום שלגיטימציה </w:t>
      </w:r>
      <w:r w:rsidR="00427D7D" w:rsidRPr="00F75A9F">
        <w:rPr>
          <w:rFonts w:hint="cs"/>
          <w:sz w:val="24"/>
          <w:szCs w:val="24"/>
          <w:rtl/>
        </w:rPr>
        <w:t>נהפכת לבעייתית יותר בעידן המודרני.</w:t>
      </w:r>
      <w:r w:rsidR="00F75A9F" w:rsidRPr="00F75A9F">
        <w:rPr>
          <w:rFonts w:hint="cs"/>
          <w:sz w:val="24"/>
          <w:szCs w:val="24"/>
          <w:rtl/>
        </w:rPr>
        <w:t xml:space="preserve"> </w:t>
      </w:r>
    </w:p>
    <w:p w:rsidR="00F75A9F" w:rsidRPr="00F75A9F" w:rsidRDefault="00F75A9F" w:rsidP="00165C5F">
      <w:pPr>
        <w:bidi/>
        <w:rPr>
          <w:sz w:val="24"/>
          <w:szCs w:val="24"/>
          <w:rtl/>
        </w:rPr>
      </w:pPr>
      <w:r w:rsidRPr="00F75A9F">
        <w:rPr>
          <w:rFonts w:hint="cs"/>
          <w:sz w:val="24"/>
          <w:szCs w:val="24"/>
          <w:rtl/>
        </w:rPr>
        <w:t>הפחדת האוכלוסייה מחייבת אמצעי תקשורת יעילים וחודרניים, והטלוויזיה היא המדיום המתאים ביותר לכך. לפיכך</w:t>
      </w:r>
      <w:r w:rsidR="00165C5F">
        <w:rPr>
          <w:rFonts w:hint="cs"/>
          <w:sz w:val="24"/>
          <w:szCs w:val="24"/>
          <w:rtl/>
        </w:rPr>
        <w:t>,</w:t>
      </w:r>
      <w:r w:rsidRPr="00F75A9F">
        <w:rPr>
          <w:rFonts w:hint="cs"/>
          <w:sz w:val="24"/>
          <w:szCs w:val="24"/>
          <w:rtl/>
        </w:rPr>
        <w:t xml:space="preserve"> יש הגיון רב במיקוד החקירה של תעשיית ההפחדה השלטונית בתקופת העיצוב של</w:t>
      </w:r>
      <w:r w:rsidR="00165C5F">
        <w:rPr>
          <w:rFonts w:hint="cs"/>
          <w:sz w:val="24"/>
          <w:szCs w:val="24"/>
          <w:rtl/>
        </w:rPr>
        <w:t xml:space="preserve"> </w:t>
      </w:r>
      <w:r w:rsidRPr="00F75A9F">
        <w:rPr>
          <w:rFonts w:hint="cs"/>
          <w:sz w:val="24"/>
          <w:szCs w:val="24"/>
          <w:rtl/>
        </w:rPr>
        <w:t>ה</w:t>
      </w:r>
      <w:r w:rsidR="00165C5F">
        <w:rPr>
          <w:rFonts w:hint="cs"/>
          <w:sz w:val="24"/>
          <w:szCs w:val="24"/>
          <w:rtl/>
        </w:rPr>
        <w:t xml:space="preserve">הפחדה הזאת במדיום הטלוויזיוני, </w:t>
      </w:r>
      <w:r w:rsidRPr="00F75A9F">
        <w:rPr>
          <w:rFonts w:hint="cs"/>
          <w:sz w:val="24"/>
          <w:szCs w:val="24"/>
          <w:rtl/>
        </w:rPr>
        <w:t>תקופה שהיא במוקד הסרט הנוכחי.</w:t>
      </w:r>
    </w:p>
    <w:p w:rsidR="00F75A9F" w:rsidRDefault="008C6844" w:rsidP="00F75A9F">
      <w:pPr>
        <w:bidi/>
        <w:rPr>
          <w:sz w:val="24"/>
          <w:szCs w:val="24"/>
          <w:rtl/>
        </w:rPr>
      </w:pPr>
      <w:r>
        <w:rPr>
          <w:rFonts w:hint="cs"/>
          <w:sz w:val="24"/>
          <w:szCs w:val="24"/>
          <w:rtl/>
        </w:rPr>
        <w:t>ממרחק הזמן</w:t>
      </w:r>
      <w:r w:rsidR="006A30AB">
        <w:rPr>
          <w:rFonts w:hint="cs"/>
          <w:sz w:val="24"/>
          <w:szCs w:val="24"/>
          <w:rtl/>
        </w:rPr>
        <w:t xml:space="preserve"> נראית תעמולת ההפחדה של עידן המלחמה הקרה מגוחכת. </w:t>
      </w:r>
      <w:r w:rsidR="00C4548F">
        <w:rPr>
          <w:rFonts w:hint="cs"/>
          <w:sz w:val="24"/>
          <w:szCs w:val="24"/>
          <w:rtl/>
        </w:rPr>
        <w:t>אחת הבעיות הפוליטיות הנ</w:t>
      </w:r>
      <w:r w:rsidR="00903EF2">
        <w:rPr>
          <w:rFonts w:hint="cs"/>
          <w:sz w:val="24"/>
          <w:szCs w:val="24"/>
          <w:rtl/>
        </w:rPr>
        <w:t>יצבות בפנינו היא לחשוף את המופרכ</w:t>
      </w:r>
      <w:r w:rsidR="00C4548F">
        <w:rPr>
          <w:rFonts w:hint="cs"/>
          <w:sz w:val="24"/>
          <w:szCs w:val="24"/>
          <w:rtl/>
        </w:rPr>
        <w:t>ות והגיחוך של תעמולת ההפחדה הנוכחית, ש</w:t>
      </w:r>
      <w:bookmarkStart w:id="0" w:name="_GoBack"/>
      <w:bookmarkEnd w:id="0"/>
      <w:r w:rsidR="00C4548F">
        <w:rPr>
          <w:rFonts w:hint="cs"/>
          <w:sz w:val="24"/>
          <w:szCs w:val="24"/>
          <w:rtl/>
        </w:rPr>
        <w:t>האפקטיביות שלה מהווה את יסוד כוחו של השלטון הנוכחי.</w:t>
      </w:r>
    </w:p>
    <w:p w:rsidR="00C4548F" w:rsidRDefault="00C4548F" w:rsidP="00C4548F">
      <w:pPr>
        <w:bidi/>
        <w:rPr>
          <w:sz w:val="24"/>
          <w:szCs w:val="24"/>
          <w:rtl/>
        </w:rPr>
      </w:pPr>
    </w:p>
    <w:p w:rsidR="00C4548F" w:rsidRPr="00C4548F" w:rsidRDefault="00C4548F" w:rsidP="00C4548F">
      <w:pPr>
        <w:bidi/>
        <w:rPr>
          <w:b/>
          <w:bCs/>
          <w:sz w:val="24"/>
          <w:szCs w:val="24"/>
          <w:rtl/>
        </w:rPr>
      </w:pPr>
      <w:r w:rsidRPr="00C4548F">
        <w:rPr>
          <w:rFonts w:hint="cs"/>
          <w:b/>
          <w:bCs/>
          <w:sz w:val="24"/>
          <w:szCs w:val="24"/>
          <w:rtl/>
        </w:rPr>
        <w:t xml:space="preserve">עודד </w:t>
      </w:r>
      <w:proofErr w:type="spellStart"/>
      <w:r w:rsidRPr="00C4548F">
        <w:rPr>
          <w:rFonts w:hint="cs"/>
          <w:b/>
          <w:bCs/>
          <w:sz w:val="24"/>
          <w:szCs w:val="24"/>
          <w:rtl/>
        </w:rPr>
        <w:t>גולדרייך</w:t>
      </w:r>
      <w:proofErr w:type="spellEnd"/>
      <w:r w:rsidRPr="00C4548F">
        <w:rPr>
          <w:rFonts w:hint="cs"/>
          <w:b/>
          <w:bCs/>
          <w:sz w:val="24"/>
          <w:szCs w:val="24"/>
          <w:rtl/>
        </w:rPr>
        <w:t>, ספטמבר 2014</w:t>
      </w:r>
    </w:p>
    <w:p w:rsidR="006F28C5" w:rsidRDefault="00F75A9F" w:rsidP="00F75A9F">
      <w:pPr>
        <w:bidi/>
        <w:rPr>
          <w:rtl/>
        </w:rPr>
      </w:pPr>
      <w:r>
        <w:rPr>
          <w:rFonts w:hint="cs"/>
          <w:rtl/>
        </w:rPr>
        <w:t xml:space="preserve"> </w:t>
      </w:r>
    </w:p>
    <w:sectPr w:rsidR="006F28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E0"/>
    <w:rsid w:val="00005089"/>
    <w:rsid w:val="00026B74"/>
    <w:rsid w:val="00165C5F"/>
    <w:rsid w:val="00272DD2"/>
    <w:rsid w:val="002913AF"/>
    <w:rsid w:val="00410598"/>
    <w:rsid w:val="00427D7D"/>
    <w:rsid w:val="006A30AB"/>
    <w:rsid w:val="006F28C5"/>
    <w:rsid w:val="00847968"/>
    <w:rsid w:val="008C6844"/>
    <w:rsid w:val="00903EF2"/>
    <w:rsid w:val="0094743C"/>
    <w:rsid w:val="00A10DB3"/>
    <w:rsid w:val="00B048F0"/>
    <w:rsid w:val="00BB67E0"/>
    <w:rsid w:val="00C4548F"/>
    <w:rsid w:val="00CA6131"/>
    <w:rsid w:val="00F75A9F"/>
    <w:rsid w:val="00FF5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A1776-9088-4D74-B68E-1FE3FDA4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12</cp:revision>
  <dcterms:created xsi:type="dcterms:W3CDTF">2014-09-19T07:58:00Z</dcterms:created>
  <dcterms:modified xsi:type="dcterms:W3CDTF">2014-09-19T10:36:00Z</dcterms:modified>
</cp:coreProperties>
</file>