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F9" w:rsidRPr="008413F9" w:rsidRDefault="009E4B19" w:rsidP="008413F9">
      <w:pPr>
        <w:jc w:val="center"/>
        <w:rPr>
          <w:b/>
          <w:bCs/>
          <w:sz w:val="28"/>
          <w:szCs w:val="28"/>
          <w:rtl/>
        </w:rPr>
      </w:pPr>
      <w:r>
        <w:rPr>
          <w:rFonts w:hint="cs"/>
          <w:b/>
          <w:bCs/>
          <w:sz w:val="28"/>
          <w:szCs w:val="28"/>
          <w:rtl/>
        </w:rPr>
        <w:t xml:space="preserve">הקוזק הנגזל: </w:t>
      </w:r>
      <w:r w:rsidR="008413F9" w:rsidRPr="008413F9">
        <w:rPr>
          <w:rFonts w:hint="cs"/>
          <w:b/>
          <w:bCs/>
          <w:sz w:val="28"/>
          <w:szCs w:val="28"/>
          <w:rtl/>
        </w:rPr>
        <w:t xml:space="preserve">מענה למנכ"ל </w:t>
      </w:r>
      <w:proofErr w:type="spellStart"/>
      <w:r w:rsidR="008413F9" w:rsidRPr="008413F9">
        <w:rPr>
          <w:rFonts w:hint="cs"/>
          <w:b/>
          <w:bCs/>
          <w:sz w:val="28"/>
          <w:szCs w:val="28"/>
          <w:rtl/>
        </w:rPr>
        <w:t>המל"ג</w:t>
      </w:r>
      <w:proofErr w:type="spellEnd"/>
      <w:r w:rsidR="008413F9" w:rsidRPr="008413F9">
        <w:rPr>
          <w:rFonts w:hint="cs"/>
          <w:b/>
          <w:bCs/>
          <w:sz w:val="28"/>
          <w:szCs w:val="28"/>
          <w:rtl/>
        </w:rPr>
        <w:t xml:space="preserve"> שהתבכיין על הביקורת עליה</w:t>
      </w:r>
    </w:p>
    <w:p w:rsidR="008413F9" w:rsidRDefault="008413F9" w:rsidP="008413F9">
      <w:pPr>
        <w:rPr>
          <w:rtl/>
        </w:rPr>
      </w:pPr>
    </w:p>
    <w:p w:rsidR="009E4B19" w:rsidRDefault="008413F9" w:rsidP="009E4B19">
      <w:pPr>
        <w:rPr>
          <w:rtl/>
        </w:rPr>
      </w:pPr>
      <w:r w:rsidRPr="009E4B19">
        <w:rPr>
          <w:rFonts w:hint="cs"/>
          <w:sz w:val="20"/>
          <w:szCs w:val="20"/>
          <w:rtl/>
        </w:rPr>
        <w:t xml:space="preserve">בתאריך 30.10.2012, פרסם מנכ"ל מל"ג, </w:t>
      </w:r>
      <w:r w:rsidRPr="009E4B19">
        <w:rPr>
          <w:sz w:val="20"/>
          <w:szCs w:val="20"/>
          <w:rtl/>
        </w:rPr>
        <w:t>משה ויגדור</w:t>
      </w:r>
      <w:r w:rsidRPr="009E4B19">
        <w:rPr>
          <w:rFonts w:hint="cs"/>
          <w:sz w:val="20"/>
          <w:szCs w:val="20"/>
          <w:rtl/>
        </w:rPr>
        <w:t xml:space="preserve">, מאמר דעה </w:t>
      </w:r>
      <w:proofErr w:type="spellStart"/>
      <w:r w:rsidRPr="009E4B19">
        <w:rPr>
          <w:rFonts w:hint="cs"/>
          <w:sz w:val="20"/>
          <w:szCs w:val="20"/>
          <w:rtl/>
        </w:rPr>
        <w:t>בהארץ</w:t>
      </w:r>
      <w:proofErr w:type="spellEnd"/>
      <w:r w:rsidRPr="009E4B19">
        <w:rPr>
          <w:rFonts w:hint="cs"/>
          <w:sz w:val="20"/>
          <w:szCs w:val="20"/>
          <w:rtl/>
        </w:rPr>
        <w:t xml:space="preserve"> תחת הכותרת "</w:t>
      </w:r>
      <w:r w:rsidRPr="009E4B19">
        <w:rPr>
          <w:sz w:val="20"/>
          <w:szCs w:val="20"/>
          <w:rtl/>
        </w:rPr>
        <w:t xml:space="preserve">די למתקפה על </w:t>
      </w:r>
      <w:proofErr w:type="spellStart"/>
      <w:r w:rsidRPr="009E4B19">
        <w:rPr>
          <w:sz w:val="20"/>
          <w:szCs w:val="20"/>
          <w:rtl/>
        </w:rPr>
        <w:t>המל"ג</w:t>
      </w:r>
      <w:proofErr w:type="spellEnd"/>
      <w:r w:rsidRPr="009E4B19">
        <w:rPr>
          <w:rFonts w:hint="cs"/>
          <w:sz w:val="20"/>
          <w:szCs w:val="20"/>
          <w:rtl/>
        </w:rPr>
        <w:t>"</w:t>
      </w:r>
      <w:r w:rsidR="00DC49C1">
        <w:rPr>
          <w:rFonts w:hint="cs"/>
          <w:sz w:val="20"/>
          <w:szCs w:val="20"/>
          <w:rtl/>
        </w:rPr>
        <w:t xml:space="preserve">. במאמרו,  </w:t>
      </w:r>
      <w:r w:rsidRPr="009E4B19">
        <w:rPr>
          <w:rFonts w:hint="cs"/>
          <w:sz w:val="20"/>
          <w:szCs w:val="20"/>
          <w:rtl/>
        </w:rPr>
        <w:t xml:space="preserve">השתומם </w:t>
      </w:r>
      <w:r w:rsidR="00DC49C1">
        <w:rPr>
          <w:rFonts w:hint="cs"/>
          <w:sz w:val="20"/>
          <w:szCs w:val="20"/>
          <w:rtl/>
        </w:rPr>
        <w:t xml:space="preserve">המנכ"ל </w:t>
      </w:r>
      <w:r w:rsidRPr="009E4B19">
        <w:rPr>
          <w:rFonts w:hint="cs"/>
          <w:sz w:val="20"/>
          <w:szCs w:val="20"/>
          <w:rtl/>
        </w:rPr>
        <w:t xml:space="preserve">והתלונן על הביקורת החריפה על החלטת </w:t>
      </w:r>
      <w:proofErr w:type="spellStart"/>
      <w:r w:rsidRPr="009E4B19">
        <w:rPr>
          <w:rFonts w:hint="cs"/>
          <w:sz w:val="20"/>
          <w:szCs w:val="20"/>
          <w:rtl/>
        </w:rPr>
        <w:t>המל"ג</w:t>
      </w:r>
      <w:proofErr w:type="spellEnd"/>
      <w:r w:rsidRPr="009E4B19">
        <w:rPr>
          <w:rFonts w:hint="cs"/>
          <w:sz w:val="20"/>
          <w:szCs w:val="20"/>
          <w:rtl/>
        </w:rPr>
        <w:t xml:space="preserve"> ל</w:t>
      </w:r>
      <w:r w:rsidR="009E4B19" w:rsidRPr="009E4B19">
        <w:rPr>
          <w:rFonts w:hint="cs"/>
          <w:sz w:val="20"/>
          <w:szCs w:val="20"/>
          <w:rtl/>
        </w:rPr>
        <w:t xml:space="preserve">איים בסגירת המחלקה לפוליטיקה וממשל </w:t>
      </w:r>
      <w:proofErr w:type="spellStart"/>
      <w:r w:rsidR="009E4B19" w:rsidRPr="009E4B19">
        <w:rPr>
          <w:rFonts w:hint="cs"/>
          <w:sz w:val="20"/>
          <w:szCs w:val="20"/>
          <w:rtl/>
        </w:rPr>
        <w:t>באב"ג</w:t>
      </w:r>
      <w:proofErr w:type="spellEnd"/>
      <w:r w:rsidR="009E4B19" w:rsidRPr="009E4B19">
        <w:rPr>
          <w:rFonts w:hint="cs"/>
          <w:sz w:val="20"/>
          <w:szCs w:val="20"/>
          <w:rtl/>
        </w:rPr>
        <w:t xml:space="preserve"> באם לא תפעל עפ"י תכתיבי </w:t>
      </w:r>
      <w:proofErr w:type="spellStart"/>
      <w:r w:rsidR="009E4B19" w:rsidRPr="009E4B19">
        <w:rPr>
          <w:rFonts w:hint="cs"/>
          <w:sz w:val="20"/>
          <w:szCs w:val="20"/>
          <w:rtl/>
        </w:rPr>
        <w:t>המל"ג</w:t>
      </w:r>
      <w:proofErr w:type="spellEnd"/>
      <w:r w:rsidR="009E4B19" w:rsidRPr="009E4B19">
        <w:rPr>
          <w:rFonts w:hint="cs"/>
          <w:sz w:val="20"/>
          <w:szCs w:val="20"/>
          <w:rtl/>
        </w:rPr>
        <w:t xml:space="preserve"> לגבי </w:t>
      </w:r>
      <w:proofErr w:type="spellStart"/>
      <w:r w:rsidR="009E4B19" w:rsidRPr="009E4B19">
        <w:rPr>
          <w:rFonts w:hint="cs"/>
          <w:sz w:val="20"/>
          <w:szCs w:val="20"/>
          <w:rtl/>
        </w:rPr>
        <w:t>תוכנית</w:t>
      </w:r>
      <w:proofErr w:type="spellEnd"/>
      <w:r w:rsidR="009E4B19" w:rsidRPr="009E4B19">
        <w:rPr>
          <w:rFonts w:hint="cs"/>
          <w:sz w:val="20"/>
          <w:szCs w:val="20"/>
          <w:rtl/>
        </w:rPr>
        <w:t xml:space="preserve"> </w:t>
      </w:r>
      <w:r w:rsidR="00DC49C1">
        <w:rPr>
          <w:rFonts w:hint="cs"/>
          <w:sz w:val="20"/>
          <w:szCs w:val="20"/>
          <w:rtl/>
        </w:rPr>
        <w:t>ההוראה והמחקר שלה. תגובתי הופיעה תחת ה</w:t>
      </w:r>
      <w:r w:rsidR="009E4B19" w:rsidRPr="009E4B19">
        <w:rPr>
          <w:rFonts w:hint="cs"/>
          <w:sz w:val="20"/>
          <w:szCs w:val="20"/>
          <w:rtl/>
        </w:rPr>
        <w:t xml:space="preserve">כותרת "הקוזק הנגזל" וזו לשונה.  </w:t>
      </w:r>
      <w:r w:rsidRPr="009E4B19">
        <w:rPr>
          <w:sz w:val="20"/>
          <w:szCs w:val="20"/>
        </w:rPr>
        <w:br/>
      </w:r>
      <w:r w:rsidRPr="009E4B19">
        <w:rPr>
          <w:sz w:val="20"/>
          <w:szCs w:val="20"/>
        </w:rPr>
        <w:br/>
      </w:r>
    </w:p>
    <w:p w:rsidR="00DC49C1" w:rsidRDefault="008413F9" w:rsidP="00DC49C1">
      <w:pPr>
        <w:rPr>
          <w:rtl/>
        </w:rPr>
      </w:pPr>
      <w:proofErr w:type="spellStart"/>
      <w:r w:rsidRPr="008413F9">
        <w:rPr>
          <w:rtl/>
        </w:rPr>
        <w:t>המל"ג</w:t>
      </w:r>
      <w:proofErr w:type="spellEnd"/>
      <w:r w:rsidRPr="008413F9">
        <w:rPr>
          <w:rtl/>
        </w:rPr>
        <w:t xml:space="preserve"> היא זאת שפתחה במסע חסר תקדים של הצקות למחלקה, תוך חציית כל </w:t>
      </w:r>
      <w:r w:rsidR="00E249AF" w:rsidRPr="008413F9">
        <w:rPr>
          <w:rFonts w:hint="cs"/>
          <w:rtl/>
        </w:rPr>
        <w:t>הקווים</w:t>
      </w:r>
      <w:r w:rsidRPr="008413F9">
        <w:rPr>
          <w:rtl/>
        </w:rPr>
        <w:t xml:space="preserve"> האדומים ובפרט סעיף 15 בחוק </w:t>
      </w:r>
      <w:proofErr w:type="spellStart"/>
      <w:r w:rsidRPr="008413F9">
        <w:rPr>
          <w:rtl/>
        </w:rPr>
        <w:t>המל"ג</w:t>
      </w:r>
      <w:proofErr w:type="spellEnd"/>
      <w:r w:rsidRPr="008413F9">
        <w:rPr>
          <w:rtl/>
        </w:rPr>
        <w:t xml:space="preserve">. אופן הפעילות הנוכחי של היחידה להערכת איכות ושל תת-הועדה לאבטחת איכות </w:t>
      </w:r>
      <w:r w:rsidR="00E249AF">
        <w:rPr>
          <w:rFonts w:hint="cs"/>
          <w:rtl/>
        </w:rPr>
        <w:t>ה</w:t>
      </w:r>
      <w:r w:rsidRPr="008413F9">
        <w:rPr>
          <w:rtl/>
        </w:rPr>
        <w:t>ינו בלתי חוקי בעלי</w:t>
      </w:r>
      <w:r w:rsidR="00DC49C1">
        <w:rPr>
          <w:rFonts w:hint="cs"/>
          <w:rtl/>
        </w:rPr>
        <w:t xml:space="preserve">ל: </w:t>
      </w:r>
      <w:r w:rsidRPr="008413F9">
        <w:t xml:space="preserve"> </w:t>
      </w:r>
      <w:r w:rsidRPr="008413F9">
        <w:rPr>
          <w:rtl/>
        </w:rPr>
        <w:t>ז"א</w:t>
      </w:r>
      <w:r w:rsidR="00DC49C1">
        <w:rPr>
          <w:rFonts w:hint="cs"/>
          <w:rtl/>
        </w:rPr>
        <w:t>,</w:t>
      </w:r>
      <w:r w:rsidRPr="008413F9">
        <w:rPr>
          <w:rtl/>
        </w:rPr>
        <w:t xml:space="preserve"> בעניין זה ובכמה עניינים אחרים, </w:t>
      </w:r>
      <w:proofErr w:type="spellStart"/>
      <w:r w:rsidRPr="008413F9">
        <w:rPr>
          <w:rtl/>
        </w:rPr>
        <w:t>המל"ג</w:t>
      </w:r>
      <w:proofErr w:type="spellEnd"/>
      <w:r w:rsidRPr="008413F9">
        <w:rPr>
          <w:rtl/>
        </w:rPr>
        <w:t xml:space="preserve"> </w:t>
      </w:r>
      <w:r w:rsidR="00E249AF">
        <w:rPr>
          <w:rFonts w:hint="cs"/>
          <w:rtl/>
        </w:rPr>
        <w:t>פ</w:t>
      </w:r>
      <w:r w:rsidRPr="008413F9">
        <w:rPr>
          <w:rtl/>
        </w:rPr>
        <w:t>ועלת ללא סמכות חוקית ובניגוד לחוק מפורש</w:t>
      </w:r>
      <w:r w:rsidRPr="008413F9">
        <w:t xml:space="preserve">. </w:t>
      </w:r>
      <w:r w:rsidRPr="008413F9">
        <w:br/>
      </w:r>
      <w:r w:rsidRPr="008413F9">
        <w:br/>
      </w:r>
      <w:proofErr w:type="spellStart"/>
      <w:r w:rsidRPr="008413F9">
        <w:rPr>
          <w:rtl/>
        </w:rPr>
        <w:t>המ"ל</w:t>
      </w:r>
      <w:r w:rsidR="00E249AF">
        <w:rPr>
          <w:rFonts w:hint="cs"/>
          <w:rtl/>
        </w:rPr>
        <w:t>ג</w:t>
      </w:r>
      <w:proofErr w:type="spellEnd"/>
      <w:r w:rsidRPr="008413F9">
        <w:rPr>
          <w:rtl/>
        </w:rPr>
        <w:t xml:space="preserve"> נטלה לעצמה סמכות לכפות על אוניברסיטאות ומחלקות איך לנהל את התוכנית האקדמית שלהן, בעוד לא רק שאין למצוא בחוק </w:t>
      </w:r>
      <w:proofErr w:type="spellStart"/>
      <w:r w:rsidRPr="008413F9">
        <w:rPr>
          <w:rtl/>
        </w:rPr>
        <w:t>המל"ג</w:t>
      </w:r>
      <w:proofErr w:type="spellEnd"/>
      <w:r w:rsidRPr="008413F9">
        <w:rPr>
          <w:rtl/>
        </w:rPr>
        <w:t xml:space="preserve"> ביסוס לסמכות כזאת (בניגוד לסמכויות אחרות</w:t>
      </w:r>
      <w:r w:rsidR="00E249AF">
        <w:rPr>
          <w:rFonts w:hint="cs"/>
          <w:rtl/>
        </w:rPr>
        <w:t xml:space="preserve"> אשר מוקנות לה בחוק</w:t>
      </w:r>
      <w:r w:rsidRPr="008413F9">
        <w:rPr>
          <w:rtl/>
        </w:rPr>
        <w:t xml:space="preserve">) אלא שהחוק כולל סעיף מפורש (מס' 15) אשר משריין הגנה בפני כל התערבות (ובפרט של </w:t>
      </w:r>
      <w:proofErr w:type="spellStart"/>
      <w:r w:rsidRPr="008413F9">
        <w:rPr>
          <w:rtl/>
        </w:rPr>
        <w:t>המל"ג</w:t>
      </w:r>
      <w:proofErr w:type="spellEnd"/>
      <w:r w:rsidRPr="008413F9">
        <w:rPr>
          <w:rtl/>
        </w:rPr>
        <w:t>) בתוכניות האקדמיות של מוסדות מוכרים</w:t>
      </w:r>
      <w:r w:rsidRPr="008413F9">
        <w:t xml:space="preserve">. </w:t>
      </w:r>
      <w:r w:rsidRPr="008413F9">
        <w:br/>
      </w:r>
      <w:r w:rsidRPr="008413F9">
        <w:br/>
      </w:r>
      <w:r w:rsidRPr="008413F9">
        <w:rPr>
          <w:rtl/>
        </w:rPr>
        <w:t xml:space="preserve">מעבר לאי-חוקיות פעילות </w:t>
      </w:r>
      <w:proofErr w:type="spellStart"/>
      <w:r w:rsidRPr="008413F9">
        <w:rPr>
          <w:rtl/>
        </w:rPr>
        <w:t>המל"ג</w:t>
      </w:r>
      <w:proofErr w:type="spellEnd"/>
      <w:r w:rsidRPr="008413F9">
        <w:rPr>
          <w:rtl/>
        </w:rPr>
        <w:t xml:space="preserve"> בעניין זה, אני מבקש להצביע על אי-הסבירות ועל אי-המקצועיות שלה. התירוץ האקדמי להתערבות מתייחס לחילוקי דעות בתחום מסוים (התחום של המחל</w:t>
      </w:r>
      <w:r w:rsidR="00E249AF">
        <w:rPr>
          <w:rtl/>
        </w:rPr>
        <w:t xml:space="preserve">קה לפוליטיקה וממשל </w:t>
      </w:r>
      <w:proofErr w:type="spellStart"/>
      <w:r w:rsidR="00E249AF">
        <w:rPr>
          <w:rtl/>
        </w:rPr>
        <w:t>באב"ג</w:t>
      </w:r>
      <w:proofErr w:type="spellEnd"/>
      <w:r w:rsidR="00E249AF">
        <w:rPr>
          <w:rtl/>
        </w:rPr>
        <w:t xml:space="preserve">) לגבי </w:t>
      </w:r>
      <w:r w:rsidRPr="008413F9">
        <w:rPr>
          <w:rtl/>
        </w:rPr>
        <w:t>מ</w:t>
      </w:r>
      <w:r w:rsidR="00E249AF">
        <w:rPr>
          <w:rFonts w:hint="cs"/>
          <w:rtl/>
        </w:rPr>
        <w:t>ה</w:t>
      </w:r>
      <w:r w:rsidRPr="008413F9">
        <w:rPr>
          <w:rtl/>
        </w:rPr>
        <w:t xml:space="preserve"> חשוב יותר ופחות בתחום זה ומה נכון או לא נכון. חילוקי דעות אלו חוצים את הקהילה האקדמית הרלוונטית, ובפרט עמדת המחלקה </w:t>
      </w:r>
      <w:proofErr w:type="spellStart"/>
      <w:r w:rsidRPr="008413F9">
        <w:rPr>
          <w:rtl/>
        </w:rPr>
        <w:t>באב"ג</w:t>
      </w:r>
      <w:proofErr w:type="spellEnd"/>
      <w:r w:rsidRPr="008413F9">
        <w:rPr>
          <w:rtl/>
        </w:rPr>
        <w:t xml:space="preserve"> נתמכת על ידי חלק משמעותי של החוקרים בתחום בארץ (וכנ"ל בעולם). חילוקי דעות כאלו הינם חזיון נפרץ באקדמיה, ולפעמים הם מוכרעים במהלך הזמן ע"י המחקר וההבנה הנצברת בתחום עצמו: הגישות ה</w:t>
      </w:r>
      <w:r w:rsidR="00E249AF">
        <w:rPr>
          <w:rFonts w:hint="cs"/>
          <w:rtl/>
        </w:rPr>
        <w:t>מ</w:t>
      </w:r>
      <w:r w:rsidRPr="008413F9">
        <w:rPr>
          <w:rtl/>
        </w:rPr>
        <w:t>תחרות ממשיכות כל אחת בדרכה, והמחלוקת נמשכת תוך הפריה הדדית, ולעתים היא מסתיימת כאשר כולם (</w:t>
      </w:r>
      <w:r w:rsidR="00DC49C1">
        <w:rPr>
          <w:rFonts w:hint="cs"/>
          <w:rtl/>
        </w:rPr>
        <w:t xml:space="preserve">ז"א </w:t>
      </w:r>
      <w:r w:rsidRPr="008413F9">
        <w:rPr>
          <w:rtl/>
        </w:rPr>
        <w:t>כמעט כל החוקרים בתחום) משתכנעים בעדיפות גישה אחת. ז"א</w:t>
      </w:r>
      <w:r w:rsidR="00DC49C1">
        <w:rPr>
          <w:rFonts w:hint="cs"/>
          <w:rtl/>
        </w:rPr>
        <w:t>,</w:t>
      </w:r>
      <w:r w:rsidRPr="008413F9">
        <w:rPr>
          <w:rtl/>
        </w:rPr>
        <w:t xml:space="preserve"> הקהילה האקדמית "מצביעה ברגליים" (על סמך הבנתה את התחום). ניסיונות להכריע מחלוקות מקצועיות כאלו ע"י החלטות </w:t>
      </w:r>
      <w:r w:rsidR="00DC49C1" w:rsidRPr="008413F9">
        <w:rPr>
          <w:rFonts w:hint="cs"/>
          <w:rtl/>
        </w:rPr>
        <w:t>אדמיניסטרטיביות</w:t>
      </w:r>
      <w:r w:rsidRPr="008413F9">
        <w:rPr>
          <w:rtl/>
        </w:rPr>
        <w:t xml:space="preserve"> (קל וחומר של גופים חיצוניים לתחום המחקר) נעשו רק במשטרים </w:t>
      </w:r>
      <w:r w:rsidR="00DC49C1" w:rsidRPr="008413F9">
        <w:rPr>
          <w:rFonts w:hint="cs"/>
          <w:rtl/>
        </w:rPr>
        <w:t>טוטליטריים</w:t>
      </w:r>
      <w:r w:rsidRPr="008413F9">
        <w:rPr>
          <w:rtl/>
        </w:rPr>
        <w:t xml:space="preserve"> ותוצאתם </w:t>
      </w:r>
      <w:r w:rsidR="00DC49C1" w:rsidRPr="008413F9">
        <w:rPr>
          <w:rFonts w:hint="cs"/>
          <w:rtl/>
        </w:rPr>
        <w:t>הייתה</w:t>
      </w:r>
      <w:r w:rsidRPr="008413F9">
        <w:rPr>
          <w:rtl/>
        </w:rPr>
        <w:t xml:space="preserve"> נזק חמור למדע ולתרבות</w:t>
      </w:r>
      <w:r w:rsidRPr="008413F9">
        <w:t>.</w:t>
      </w:r>
      <w:r w:rsidRPr="008413F9">
        <w:br/>
      </w:r>
    </w:p>
    <w:p w:rsidR="00E249AF" w:rsidRPr="00E249AF" w:rsidRDefault="00E249AF" w:rsidP="00DC49C1">
      <w:pPr>
        <w:rPr>
          <w:sz w:val="20"/>
          <w:szCs w:val="20"/>
          <w:rtl/>
        </w:rPr>
      </w:pPr>
      <w:r w:rsidRPr="00E249AF">
        <w:rPr>
          <w:rFonts w:hint="cs"/>
          <w:sz w:val="20"/>
          <w:szCs w:val="20"/>
          <w:rtl/>
        </w:rPr>
        <w:t>ב</w:t>
      </w:r>
      <w:r w:rsidR="008413F9" w:rsidRPr="00E249AF">
        <w:rPr>
          <w:sz w:val="20"/>
          <w:szCs w:val="20"/>
          <w:rtl/>
        </w:rPr>
        <w:t>תגובה</w:t>
      </w:r>
      <w:r w:rsidRPr="00E249AF">
        <w:rPr>
          <w:rFonts w:hint="cs"/>
          <w:sz w:val="20"/>
          <w:szCs w:val="20"/>
          <w:rtl/>
        </w:rPr>
        <w:t xml:space="preserve"> לדברי נכתב</w:t>
      </w:r>
      <w:r w:rsidR="008413F9" w:rsidRPr="00E249AF">
        <w:rPr>
          <w:sz w:val="20"/>
          <w:szCs w:val="20"/>
          <w:rtl/>
        </w:rPr>
        <w:t xml:space="preserve">: "הסממנים של אנרכיה אליהם אתה חותר (אג'נדה חד </w:t>
      </w:r>
      <w:proofErr w:type="spellStart"/>
      <w:r w:rsidR="008413F9" w:rsidRPr="00E249AF">
        <w:rPr>
          <w:sz w:val="20"/>
          <w:szCs w:val="20"/>
          <w:rtl/>
        </w:rPr>
        <w:t>מימדית</w:t>
      </w:r>
      <w:proofErr w:type="spellEnd"/>
      <w:r w:rsidR="008413F9" w:rsidRPr="00E249AF">
        <w:rPr>
          <w:sz w:val="20"/>
          <w:szCs w:val="20"/>
          <w:rtl/>
        </w:rPr>
        <w:t xml:space="preserve"> בחוג </w:t>
      </w:r>
      <w:proofErr w:type="spellStart"/>
      <w:r w:rsidR="008413F9" w:rsidRPr="00E249AF">
        <w:rPr>
          <w:sz w:val="20"/>
          <w:szCs w:val="20"/>
          <w:rtl/>
        </w:rPr>
        <w:t>ב</w:t>
      </w:r>
      <w:r w:rsidRPr="00E249AF">
        <w:rPr>
          <w:rFonts w:hint="cs"/>
          <w:sz w:val="20"/>
          <w:szCs w:val="20"/>
          <w:rtl/>
        </w:rPr>
        <w:t>א</w:t>
      </w:r>
      <w:r w:rsidRPr="00E249AF">
        <w:rPr>
          <w:sz w:val="20"/>
          <w:szCs w:val="20"/>
          <w:rtl/>
        </w:rPr>
        <w:t>ב</w:t>
      </w:r>
      <w:r w:rsidRPr="00E249AF">
        <w:rPr>
          <w:rFonts w:hint="cs"/>
          <w:sz w:val="20"/>
          <w:szCs w:val="20"/>
          <w:rtl/>
        </w:rPr>
        <w:t>"</w:t>
      </w:r>
      <w:r w:rsidR="008413F9" w:rsidRPr="00E249AF">
        <w:rPr>
          <w:sz w:val="20"/>
          <w:szCs w:val="20"/>
          <w:rtl/>
        </w:rPr>
        <w:t>ג</w:t>
      </w:r>
      <w:proofErr w:type="spellEnd"/>
      <w:r w:rsidR="008413F9" w:rsidRPr="00E249AF">
        <w:rPr>
          <w:sz w:val="20"/>
          <w:szCs w:val="20"/>
          <w:rtl/>
        </w:rPr>
        <w:t>), הם בניגוד לפלורליזם של הדיסציפלינה, לסקרנות בצד הטלת הספק המדעית, ולמתודולוגיה של מוסד אקדמי מחקרי כאוניברסיטה</w:t>
      </w:r>
      <w:r w:rsidR="008413F9" w:rsidRPr="00E249AF">
        <w:rPr>
          <w:sz w:val="20"/>
          <w:szCs w:val="20"/>
        </w:rPr>
        <w:t>"</w:t>
      </w:r>
      <w:r>
        <w:rPr>
          <w:rFonts w:hint="cs"/>
          <w:sz w:val="20"/>
          <w:szCs w:val="20"/>
          <w:rtl/>
        </w:rPr>
        <w:t xml:space="preserve">. </w:t>
      </w:r>
      <w:r w:rsidRPr="00E249AF">
        <w:rPr>
          <w:rFonts w:hint="cs"/>
          <w:sz w:val="20"/>
          <w:szCs w:val="20"/>
          <w:rtl/>
        </w:rPr>
        <w:t>ב</w:t>
      </w:r>
      <w:r w:rsidR="008413F9" w:rsidRPr="00E249AF">
        <w:rPr>
          <w:sz w:val="20"/>
          <w:szCs w:val="20"/>
          <w:rtl/>
        </w:rPr>
        <w:t>תשובה לתגובה</w:t>
      </w:r>
      <w:r w:rsidRPr="00E249AF">
        <w:rPr>
          <w:rFonts w:hint="cs"/>
          <w:sz w:val="20"/>
          <w:szCs w:val="20"/>
          <w:rtl/>
        </w:rPr>
        <w:t xml:space="preserve"> כתבתי</w:t>
      </w:r>
      <w:r w:rsidR="008413F9" w:rsidRPr="00E249AF">
        <w:rPr>
          <w:sz w:val="20"/>
          <w:szCs w:val="20"/>
          <w:rtl/>
        </w:rPr>
        <w:t>:</w:t>
      </w:r>
      <w:r w:rsidR="008413F9" w:rsidRPr="008413F9">
        <w:rPr>
          <w:rtl/>
        </w:rPr>
        <w:t xml:space="preserve"> </w:t>
      </w:r>
    </w:p>
    <w:p w:rsidR="00E249AF" w:rsidRDefault="008413F9" w:rsidP="00E249AF">
      <w:r w:rsidRPr="008413F9">
        <w:rPr>
          <w:rtl/>
        </w:rPr>
        <w:t xml:space="preserve">פלורליזם של דעות אין משמעה שכל חוקר (וכל מחלקה) חייבת להחזיק ולהציג את מגוון הדעות, אלא שכל חוקר ומחלקה רשאים להחזיק בגישה שלהם ולהציג את מה שלדעתם (לא לדעתי או לדעתך...) נכון וראוי, ואולי ההיסטוריה תשפוט מה נכון (ובינתיים כל אחד ואחת ילך בדרכו). העובדה שיש לא מעט מומחים בארץ ובעולם שמצדדים בדרך של המחלקה </w:t>
      </w:r>
      <w:proofErr w:type="spellStart"/>
      <w:r w:rsidRPr="008413F9">
        <w:rPr>
          <w:rtl/>
        </w:rPr>
        <w:t>באב"ג</w:t>
      </w:r>
      <w:proofErr w:type="spellEnd"/>
      <w:r w:rsidRPr="008413F9">
        <w:rPr>
          <w:rtl/>
        </w:rPr>
        <w:t xml:space="preserve"> (ועוד יותר הרבה אשר תומכים בזכותה ללכת בדרך הזאת גם אם אין הם מאמינים בנכונותה) פירושה שאסור להפריע למחלקה </w:t>
      </w:r>
      <w:r w:rsidR="00E249AF">
        <w:rPr>
          <w:rFonts w:hint="cs"/>
          <w:rtl/>
        </w:rPr>
        <w:t xml:space="preserve">ללכת </w:t>
      </w:r>
      <w:r w:rsidR="00E249AF">
        <w:rPr>
          <w:rtl/>
        </w:rPr>
        <w:t>בד</w:t>
      </w:r>
      <w:r w:rsidR="00E249AF">
        <w:rPr>
          <w:rFonts w:hint="cs"/>
          <w:rtl/>
        </w:rPr>
        <w:t xml:space="preserve">רכה! </w:t>
      </w:r>
      <w:r w:rsidRPr="008413F9">
        <w:br/>
      </w:r>
      <w:r w:rsidRPr="008413F9">
        <w:br/>
      </w:r>
      <w:r w:rsidRPr="008413F9">
        <w:rPr>
          <w:rtl/>
        </w:rPr>
        <w:t xml:space="preserve">אשר לספקנות -- מה שמייחד את הדרך של המחלקה היא ספקנות (שהינה קיצונית מדי לטעמם של ברי הפלוגתא האקדמיים </w:t>
      </w:r>
      <w:r w:rsidR="00E249AF" w:rsidRPr="008413F9">
        <w:rPr>
          <w:rFonts w:hint="cs"/>
          <w:rtl/>
        </w:rPr>
        <w:t>הלגיטימיים</w:t>
      </w:r>
      <w:r w:rsidRPr="008413F9">
        <w:rPr>
          <w:rtl/>
        </w:rPr>
        <w:t xml:space="preserve"> שלה) לגבי מושגים, גישות ניתוח</w:t>
      </w:r>
      <w:r w:rsidRPr="008413F9">
        <w:t xml:space="preserve">, </w:t>
      </w:r>
      <w:r w:rsidRPr="008413F9">
        <w:rPr>
          <w:rtl/>
        </w:rPr>
        <w:t>ומתודולוגיות עבודה של מה שו</w:t>
      </w:r>
      <w:r w:rsidR="00E249AF">
        <w:rPr>
          <w:rFonts w:hint="cs"/>
          <w:rtl/>
        </w:rPr>
        <w:t>ו</w:t>
      </w:r>
      <w:r w:rsidRPr="008413F9">
        <w:rPr>
          <w:rtl/>
        </w:rPr>
        <w:t xml:space="preserve">עדת המומחים רואה כ"מיינסטרים האקדמי" בתחום. זכותם של אותם ברי-פלוגתא (ובפרט של ועדת המומחים) לחשוב שהספקנות הזאת מוגזמת ושיש לתת משקל גדול יותר לתפיסות ה"מיינסטרים", אבל </w:t>
      </w:r>
      <w:r w:rsidR="00E249AF">
        <w:rPr>
          <w:rFonts w:hint="cs"/>
          <w:rtl/>
        </w:rPr>
        <w:t xml:space="preserve">זאת </w:t>
      </w:r>
      <w:r w:rsidRPr="008413F9">
        <w:rPr>
          <w:rtl/>
        </w:rPr>
        <w:t xml:space="preserve">לא זכותם (וודאי שלא זכותה של </w:t>
      </w:r>
      <w:proofErr w:type="spellStart"/>
      <w:r w:rsidRPr="008413F9">
        <w:rPr>
          <w:rtl/>
        </w:rPr>
        <w:t>המל"ג</w:t>
      </w:r>
      <w:proofErr w:type="spellEnd"/>
      <w:r w:rsidRPr="008413F9">
        <w:rPr>
          <w:rtl/>
        </w:rPr>
        <w:t xml:space="preserve">) </w:t>
      </w:r>
      <w:r w:rsidR="00E249AF">
        <w:rPr>
          <w:rtl/>
        </w:rPr>
        <w:t>לכפות את הה</w:t>
      </w:r>
      <w:r w:rsidRPr="008413F9">
        <w:rPr>
          <w:rtl/>
        </w:rPr>
        <w:t>שקפה הזאת. מחלוקות אקדמיות (אכן "לשם שמים") אינן מוכרעות ע"י החלטות אדמיניסטרטיביות</w:t>
      </w:r>
      <w:r w:rsidRPr="008413F9">
        <w:t>!</w:t>
      </w:r>
      <w:r w:rsidR="00E249AF">
        <w:rPr>
          <w:rFonts w:hint="cs"/>
          <w:rtl/>
        </w:rPr>
        <w:t xml:space="preserve"> </w:t>
      </w:r>
      <w:bookmarkStart w:id="0" w:name="_GoBack"/>
      <w:bookmarkEnd w:id="0"/>
    </w:p>
    <w:sectPr w:rsidR="00E249AF" w:rsidSect="00D357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5A"/>
    <w:rsid w:val="00005104"/>
    <w:rsid w:val="0000524D"/>
    <w:rsid w:val="000137C3"/>
    <w:rsid w:val="0003296C"/>
    <w:rsid w:val="000508F4"/>
    <w:rsid w:val="0006535A"/>
    <w:rsid w:val="00072040"/>
    <w:rsid w:val="000808B5"/>
    <w:rsid w:val="000968D2"/>
    <w:rsid w:val="000A1BDB"/>
    <w:rsid w:val="000A554A"/>
    <w:rsid w:val="000D32D4"/>
    <w:rsid w:val="00110A5E"/>
    <w:rsid w:val="00121275"/>
    <w:rsid w:val="00153A64"/>
    <w:rsid w:val="001603BB"/>
    <w:rsid w:val="001644C8"/>
    <w:rsid w:val="00170CF3"/>
    <w:rsid w:val="001853A7"/>
    <w:rsid w:val="0020106F"/>
    <w:rsid w:val="0021340E"/>
    <w:rsid w:val="00253437"/>
    <w:rsid w:val="00263BAF"/>
    <w:rsid w:val="002C13C1"/>
    <w:rsid w:val="002E2275"/>
    <w:rsid w:val="002F47AE"/>
    <w:rsid w:val="00335D1D"/>
    <w:rsid w:val="003606BF"/>
    <w:rsid w:val="00372858"/>
    <w:rsid w:val="0041317B"/>
    <w:rsid w:val="00435783"/>
    <w:rsid w:val="004379A7"/>
    <w:rsid w:val="0046704C"/>
    <w:rsid w:val="004E1384"/>
    <w:rsid w:val="004F1107"/>
    <w:rsid w:val="005077B8"/>
    <w:rsid w:val="0053443A"/>
    <w:rsid w:val="00575AFA"/>
    <w:rsid w:val="0058538C"/>
    <w:rsid w:val="0058737A"/>
    <w:rsid w:val="005B5FAB"/>
    <w:rsid w:val="005E33CF"/>
    <w:rsid w:val="00665192"/>
    <w:rsid w:val="006F07D3"/>
    <w:rsid w:val="00702A58"/>
    <w:rsid w:val="00706CA7"/>
    <w:rsid w:val="00725EFC"/>
    <w:rsid w:val="00726AE9"/>
    <w:rsid w:val="007705BD"/>
    <w:rsid w:val="007A4090"/>
    <w:rsid w:val="00803AAC"/>
    <w:rsid w:val="00805132"/>
    <w:rsid w:val="008114EA"/>
    <w:rsid w:val="00816604"/>
    <w:rsid w:val="008413F9"/>
    <w:rsid w:val="00871296"/>
    <w:rsid w:val="008E63C1"/>
    <w:rsid w:val="00907F96"/>
    <w:rsid w:val="00940396"/>
    <w:rsid w:val="009451EB"/>
    <w:rsid w:val="0097792C"/>
    <w:rsid w:val="00995B11"/>
    <w:rsid w:val="009C7992"/>
    <w:rsid w:val="009E4B19"/>
    <w:rsid w:val="009F604E"/>
    <w:rsid w:val="00A2083A"/>
    <w:rsid w:val="00A45DC7"/>
    <w:rsid w:val="00A75294"/>
    <w:rsid w:val="00A87AB4"/>
    <w:rsid w:val="00AD614D"/>
    <w:rsid w:val="00AF33E8"/>
    <w:rsid w:val="00B31A5A"/>
    <w:rsid w:val="00B834D2"/>
    <w:rsid w:val="00B95B6B"/>
    <w:rsid w:val="00BA3E9B"/>
    <w:rsid w:val="00C03663"/>
    <w:rsid w:val="00C31A40"/>
    <w:rsid w:val="00C4681F"/>
    <w:rsid w:val="00CF2DC5"/>
    <w:rsid w:val="00D314A0"/>
    <w:rsid w:val="00D3575C"/>
    <w:rsid w:val="00DB75E4"/>
    <w:rsid w:val="00DC49C1"/>
    <w:rsid w:val="00DD1C38"/>
    <w:rsid w:val="00E249AF"/>
    <w:rsid w:val="00E3257B"/>
    <w:rsid w:val="00E67668"/>
    <w:rsid w:val="00E82D62"/>
    <w:rsid w:val="00EB50C0"/>
    <w:rsid w:val="00EC382A"/>
    <w:rsid w:val="00ED08DE"/>
    <w:rsid w:val="00EE14B6"/>
    <w:rsid w:val="00F1136B"/>
    <w:rsid w:val="00F17C8D"/>
    <w:rsid w:val="00FA194F"/>
    <w:rsid w:val="00FD7E82"/>
    <w:rsid w:val="00FE4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C3D3D-E52F-446F-A13F-8266A723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4066">
      <w:bodyDiv w:val="1"/>
      <w:marLeft w:val="0"/>
      <w:marRight w:val="0"/>
      <w:marTop w:val="0"/>
      <w:marBottom w:val="0"/>
      <w:divBdr>
        <w:top w:val="none" w:sz="0" w:space="0" w:color="auto"/>
        <w:left w:val="none" w:sz="0" w:space="0" w:color="auto"/>
        <w:bottom w:val="none" w:sz="0" w:space="0" w:color="auto"/>
        <w:right w:val="none" w:sz="0" w:space="0" w:color="auto"/>
      </w:divBdr>
      <w:divsChild>
        <w:div w:id="1871726387">
          <w:marLeft w:val="0"/>
          <w:marRight w:val="0"/>
          <w:marTop w:val="0"/>
          <w:marBottom w:val="0"/>
          <w:divBdr>
            <w:top w:val="none" w:sz="0" w:space="0" w:color="auto"/>
            <w:left w:val="none" w:sz="0" w:space="0" w:color="auto"/>
            <w:bottom w:val="none" w:sz="0" w:space="0" w:color="auto"/>
            <w:right w:val="none" w:sz="0" w:space="0" w:color="auto"/>
          </w:divBdr>
          <w:divsChild>
            <w:div w:id="1179659657">
              <w:marLeft w:val="0"/>
              <w:marRight w:val="0"/>
              <w:marTop w:val="0"/>
              <w:marBottom w:val="0"/>
              <w:divBdr>
                <w:top w:val="none" w:sz="0" w:space="0" w:color="auto"/>
                <w:left w:val="none" w:sz="0" w:space="0" w:color="auto"/>
                <w:bottom w:val="none" w:sz="0" w:space="0" w:color="auto"/>
                <w:right w:val="none" w:sz="0" w:space="0" w:color="auto"/>
              </w:divBdr>
              <w:divsChild>
                <w:div w:id="1295869734">
                  <w:marLeft w:val="0"/>
                  <w:marRight w:val="0"/>
                  <w:marTop w:val="0"/>
                  <w:marBottom w:val="0"/>
                  <w:divBdr>
                    <w:top w:val="none" w:sz="0" w:space="0" w:color="auto"/>
                    <w:left w:val="none" w:sz="0" w:space="0" w:color="auto"/>
                    <w:bottom w:val="none" w:sz="0" w:space="0" w:color="auto"/>
                    <w:right w:val="none" w:sz="0" w:space="0" w:color="auto"/>
                  </w:divBdr>
                  <w:divsChild>
                    <w:div w:id="141119676">
                      <w:marLeft w:val="0"/>
                      <w:marRight w:val="0"/>
                      <w:marTop w:val="0"/>
                      <w:marBottom w:val="0"/>
                      <w:divBdr>
                        <w:top w:val="none" w:sz="0" w:space="0" w:color="auto"/>
                        <w:left w:val="none" w:sz="0" w:space="0" w:color="auto"/>
                        <w:bottom w:val="none" w:sz="0" w:space="0" w:color="auto"/>
                        <w:right w:val="none" w:sz="0" w:space="0" w:color="auto"/>
                      </w:divBdr>
                      <w:divsChild>
                        <w:div w:id="7010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707">
      <w:bodyDiv w:val="1"/>
      <w:marLeft w:val="0"/>
      <w:marRight w:val="0"/>
      <w:marTop w:val="0"/>
      <w:marBottom w:val="0"/>
      <w:divBdr>
        <w:top w:val="none" w:sz="0" w:space="0" w:color="auto"/>
        <w:left w:val="none" w:sz="0" w:space="0" w:color="auto"/>
        <w:bottom w:val="none" w:sz="0" w:space="0" w:color="auto"/>
        <w:right w:val="none" w:sz="0" w:space="0" w:color="auto"/>
      </w:divBdr>
      <w:divsChild>
        <w:div w:id="1571502793">
          <w:marLeft w:val="0"/>
          <w:marRight w:val="0"/>
          <w:marTop w:val="0"/>
          <w:marBottom w:val="0"/>
          <w:divBdr>
            <w:top w:val="none" w:sz="0" w:space="0" w:color="auto"/>
            <w:left w:val="none" w:sz="0" w:space="0" w:color="auto"/>
            <w:bottom w:val="none" w:sz="0" w:space="0" w:color="auto"/>
            <w:right w:val="none" w:sz="0" w:space="0" w:color="auto"/>
          </w:divBdr>
          <w:divsChild>
            <w:div w:id="1773892405">
              <w:marLeft w:val="0"/>
              <w:marRight w:val="0"/>
              <w:marTop w:val="0"/>
              <w:marBottom w:val="0"/>
              <w:divBdr>
                <w:top w:val="none" w:sz="0" w:space="0" w:color="auto"/>
                <w:left w:val="none" w:sz="0" w:space="0" w:color="auto"/>
                <w:bottom w:val="none" w:sz="0" w:space="0" w:color="auto"/>
                <w:right w:val="none" w:sz="0" w:space="0" w:color="auto"/>
              </w:divBdr>
              <w:divsChild>
                <w:div w:id="302590241">
                  <w:marLeft w:val="0"/>
                  <w:marRight w:val="0"/>
                  <w:marTop w:val="0"/>
                  <w:marBottom w:val="0"/>
                  <w:divBdr>
                    <w:top w:val="none" w:sz="0" w:space="0" w:color="auto"/>
                    <w:left w:val="none" w:sz="0" w:space="0" w:color="auto"/>
                    <w:bottom w:val="none" w:sz="0" w:space="0" w:color="auto"/>
                    <w:right w:val="none" w:sz="0" w:space="0" w:color="auto"/>
                  </w:divBdr>
                  <w:divsChild>
                    <w:div w:id="1707103615">
                      <w:marLeft w:val="0"/>
                      <w:marRight w:val="0"/>
                      <w:marTop w:val="0"/>
                      <w:marBottom w:val="0"/>
                      <w:divBdr>
                        <w:top w:val="none" w:sz="0" w:space="0" w:color="auto"/>
                        <w:left w:val="none" w:sz="0" w:space="0" w:color="auto"/>
                        <w:bottom w:val="none" w:sz="0" w:space="0" w:color="auto"/>
                        <w:right w:val="none" w:sz="0" w:space="0" w:color="auto"/>
                      </w:divBdr>
                      <w:divsChild>
                        <w:div w:id="18289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494</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4</cp:revision>
  <dcterms:created xsi:type="dcterms:W3CDTF">2015-07-16T20:50:00Z</dcterms:created>
  <dcterms:modified xsi:type="dcterms:W3CDTF">2015-07-17T07:19:00Z</dcterms:modified>
</cp:coreProperties>
</file>